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Поощрения за труд. Комментарий к  </w:t>
      </w:r>
      <w:hyperlink r:id="rId4" w:history="1">
        <w:r w:rsidRPr="009D482F">
          <w:rPr>
            <w:rFonts w:cs="Times New Roman"/>
            <w:szCs w:val="24"/>
          </w:rPr>
          <w:t>статье 191</w:t>
        </w:r>
      </w:hyperlink>
      <w:r w:rsidRPr="009D482F">
        <w:rPr>
          <w:rFonts w:cs="Times New Roman"/>
          <w:szCs w:val="24"/>
        </w:rPr>
        <w:t xml:space="preserve"> Трудового кодекса РФ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b/>
          <w:bCs/>
          <w:szCs w:val="24"/>
        </w:rPr>
        <w:t>1. Поощрение как метод</w:t>
      </w:r>
      <w:r w:rsidRPr="009D482F">
        <w:rPr>
          <w:rFonts w:cs="Times New Roman"/>
          <w:szCs w:val="24"/>
        </w:rPr>
        <w:t xml:space="preserve"> управления дисциплинарными отношениями - это признание заслуг работника перед коллективом путем предоставления ему льгот, преимуществ, публичного оказания почета, повышения его престижа. У каждого человека есть потребность в признании (в материальных ценностях). На реализацию этой потребности и направлено поощрение. Несправедливым применением поощрения можно рассорить весь коллектив. Поэтому при применении мер поощрения целесообразно учитывать следующие правила эффективности поощрения: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1) поощрение следует применять при каждом проявлении трудовой активности работника с положительным результатом;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2) поощрение должно быть значимым, поднимать престиж добросовестного труда. Все преимущества и льготы в области социально-культурного и жилищно-бытового обслуживания должны предоставляться добросовестным работникам. Только так можно поднять престиж добросовестного труда;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3) поощрение должно быть гласным;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4) при применении поощрения необходимо использовать ритуал, обычаи, традиции;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5) отрицательные традиции должны быть вытеснены только положительными традициями, а не приказом;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6) чем ближе момент получения поощрения, тем активнее человек работает;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7) доступность поощрения. Как показывает практика, целесообразно установить показатели, при достижении которых работник получает юридическое право на поощрение. Таким </w:t>
      </w:r>
      <w:proofErr w:type="gramStart"/>
      <w:r w:rsidRPr="009D482F">
        <w:rPr>
          <w:rFonts w:cs="Times New Roman"/>
          <w:szCs w:val="24"/>
        </w:rPr>
        <w:t>образом</w:t>
      </w:r>
      <w:proofErr w:type="gramEnd"/>
      <w:r w:rsidRPr="009D482F">
        <w:rPr>
          <w:rFonts w:cs="Times New Roman"/>
          <w:szCs w:val="24"/>
        </w:rPr>
        <w:t xml:space="preserve"> формируются очевидные, доступные дополнительные цели в труде для каждого работника, и эти цели являются еще одним эффективным средством управления трудом и дисциплиной в коллективе.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b/>
          <w:bCs/>
          <w:szCs w:val="24"/>
        </w:rPr>
        <w:t>2. В дисциплинарном правоотношении</w:t>
      </w:r>
      <w:r w:rsidRPr="009D482F">
        <w:rPr>
          <w:rFonts w:cs="Times New Roman"/>
          <w:szCs w:val="24"/>
        </w:rPr>
        <w:t xml:space="preserve"> администрация может применять поощрения ко всем работникам. </w:t>
      </w:r>
      <w:proofErr w:type="gramStart"/>
      <w:r w:rsidRPr="009D482F">
        <w:rPr>
          <w:rFonts w:cs="Times New Roman"/>
          <w:szCs w:val="24"/>
        </w:rPr>
        <w:t>Поощрением являются: оказание работнику почета, уважения; материальные награждения; предоставление льгот и преимуществ, орденов, медалей, почетных званий, знаков, грамот и т.д.</w:t>
      </w:r>
      <w:proofErr w:type="gramEnd"/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Виды поощрения установлены в комментируемой </w:t>
      </w:r>
      <w:hyperlink r:id="rId5" w:history="1">
        <w:r w:rsidRPr="009D482F">
          <w:rPr>
            <w:rFonts w:cs="Times New Roman"/>
            <w:szCs w:val="24"/>
          </w:rPr>
          <w:t>статье</w:t>
        </w:r>
      </w:hyperlink>
      <w:r w:rsidRPr="009D482F">
        <w:rPr>
          <w:rFonts w:cs="Times New Roman"/>
          <w:szCs w:val="24"/>
        </w:rPr>
        <w:t>, а также в правилах внутреннего трудового распорядка (ПВТР).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Многие организации вводят и такой вид поощрения, как присвоение звания "Кадровый работник" и др.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Каждая организация, принимая ПВТР на собрании трудового коллектива, может принять дополнительные меры поощрения. Нередко и справедливо в ПВТР устанавливают, что работника можно поощрить за продолжительный и безупречный труд. Но ответ на вопрос, сколько нужно проработать, чтобы человека поощрили, не дают. Поэтому целесообразно внести в ПВТР норму, устанавливающую права работника на поощрение при достижении определенных показателей или за работу без нарушений в течение определенного времени. Например, через каждые 5 лет при условии отсутствия нарушений работник поощряется, причем поощрения можно применять в той последовательности, которая установлена в комментируемой </w:t>
      </w:r>
      <w:hyperlink r:id="rId6" w:history="1">
        <w:r w:rsidRPr="009D482F">
          <w:rPr>
            <w:rFonts w:cs="Times New Roman"/>
            <w:szCs w:val="24"/>
          </w:rPr>
          <w:t>статье</w:t>
        </w:r>
      </w:hyperlink>
      <w:r w:rsidRPr="009D482F">
        <w:rPr>
          <w:rFonts w:cs="Times New Roman"/>
          <w:szCs w:val="24"/>
        </w:rPr>
        <w:t>. Целесообразно включить и другие меры поощрения в ПВТР, например присвоение почетного звания "Кадровый работник", "Ветеран труда", "Почетный ветеран труда", "Заслуженный работник" и т.д. Целесообразно ввести и юбилейное поощрение при достижении работником юбилейных дат: например, 20-летия, 30-летия, 40-летия, 50-летия, 55-летия, 60-летия и т.д. Для объединения всех видов поощрения, которые введет коллектив, можно разработать Кодекс трудовой чести организации. Практика разработки таких кодексов широко распространена во многих организациях страны.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В комментируемой </w:t>
      </w:r>
      <w:hyperlink r:id="rId7" w:history="1">
        <w:r w:rsidRPr="009D482F">
          <w:rPr>
            <w:rFonts w:cs="Times New Roman"/>
            <w:szCs w:val="24"/>
          </w:rPr>
          <w:t>статье</w:t>
        </w:r>
      </w:hyperlink>
      <w:r w:rsidRPr="009D482F">
        <w:rPr>
          <w:rFonts w:cs="Times New Roman"/>
          <w:szCs w:val="24"/>
        </w:rPr>
        <w:t xml:space="preserve"> установлено, что ПВТР, коллективным договором, уставом или положением о дисциплине могут быть предусмотрены и другие </w:t>
      </w:r>
      <w:r w:rsidRPr="009D482F">
        <w:rPr>
          <w:rFonts w:cs="Times New Roman"/>
          <w:szCs w:val="24"/>
        </w:rPr>
        <w:lastRenderedPageBreak/>
        <w:t>поощрения. Это дополнительные оплаты, повышение по службе, присвоение разнообразных званий, предоставление особого статуса и более комфортных условий на работе. Все эти меры доказали свою эффективность.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Дополнительные виды поощрения могут применяться руководителями на основе принятых правил за выполнение заранее установленных показателей или самостоятельно. В первом случае за работником закрепляется право на поощрение, во втором - поощрение является лишь правом администрации при отсутствии права на поощрение у работника. </w:t>
      </w:r>
      <w:proofErr w:type="gramStart"/>
      <w:r w:rsidRPr="009D482F">
        <w:rPr>
          <w:rFonts w:cs="Times New Roman"/>
          <w:szCs w:val="24"/>
        </w:rPr>
        <w:t>Например, работа в известной фирме "Макдоналдс", предприятия которой представлены в 52 странах мира, привлекает молодежь порядком, культурой производства, хорошими отношениями, поощрениями, стимулированием труда (прогулки на корабле, бесплатные билеты в театр, участие в аукционах, возможности продвижения по служебной лестнице, внимание менеджеров и т.д.).</w:t>
      </w:r>
      <w:proofErr w:type="gramEnd"/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Кроме перечисленных выше существует немало других правил эффективности поощрения, которые разрабатываются в разных организациях, например: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вознаграждение необходимо увязывать с производительностью труда;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вознаграждение полезно выражать публично людям, чьи результаты выше </w:t>
      </w:r>
      <w:proofErr w:type="gramStart"/>
      <w:r w:rsidRPr="009D482F">
        <w:rPr>
          <w:rFonts w:cs="Times New Roman"/>
          <w:szCs w:val="24"/>
        </w:rPr>
        <w:t>средних</w:t>
      </w:r>
      <w:proofErr w:type="gramEnd"/>
      <w:r w:rsidRPr="009D482F">
        <w:rPr>
          <w:rFonts w:cs="Times New Roman"/>
          <w:szCs w:val="24"/>
        </w:rPr>
        <w:t>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человек должен получать свою долю от повышения производительности труда, а значит, и прибыли;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поощрение работника - это участие вместе с руководителем в разработке целей какой-либо деятельности;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особое внимание и помощь руководитель организации должен уделять руководителям среднего звена;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интересы сотрудников не должны входить в противоречие с целями повышения доходов организации;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нельзя поощрять того, кто этого не заслужил;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не должно быть разрыва между декларацией руководителя о системе поощрения и реальной системой вознаграждения;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не рекомендуется поддерживать систему привилегий для руководителей, которая расширяет разрыв в доходах работников;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целесообразно активно использовать систему внутреннего вознаграждения, которое дает само содержание работы;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выяснить, что работник считает ценным для себя, и на этой основе строить систему поощрения данного работника;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система поощрения должна быть индивидуальной для каждого работника;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у работника должна быть возможность заработать второй оклад на своем рабочем месте.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b/>
          <w:bCs/>
          <w:szCs w:val="24"/>
        </w:rPr>
        <w:t>3. За особые трудовые заслуги</w:t>
      </w:r>
      <w:r w:rsidRPr="009D482F">
        <w:rPr>
          <w:rFonts w:cs="Times New Roman"/>
          <w:szCs w:val="24"/>
        </w:rPr>
        <w:t xml:space="preserve"> работники представляются в вышестоящую организацию к поощрению, награждению орденами, медалями, почетными грамотами, нагрудными значками и к присвоению почетных званий и звания лучшего работника по данной профессии.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Указом Президента РФ от 2 марта 1994 г. N 442 утв. </w:t>
      </w:r>
      <w:hyperlink r:id="rId8" w:history="1">
        <w:r w:rsidRPr="009D482F">
          <w:rPr>
            <w:rFonts w:cs="Times New Roman"/>
            <w:szCs w:val="24"/>
          </w:rPr>
          <w:t>Положение</w:t>
        </w:r>
      </w:hyperlink>
      <w:r w:rsidRPr="009D482F">
        <w:rPr>
          <w:rFonts w:cs="Times New Roman"/>
          <w:szCs w:val="24"/>
        </w:rPr>
        <w:t xml:space="preserve"> о государственных наградах Российской Федерации. Государственные награды РФ являются высшей формой поощрения граждан за выдающиеся заслуги в экономике, науке, культуре, искусстве, защите Отечества, государственном строительстве, воспитании, просвещении, охране здоровья, жизни и прав граждан, благотворительной деятельности и иные заслуги перед государством и народом.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Президент РФ: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издает указы об учреждении государственных наград;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издает указы о награждении государственными наградами;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вручает государственные награды;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lastRenderedPageBreak/>
        <w:t>образует Комиссию при Президенте РФ по государственным наградам для проведения общественной оценки материалов о награждении и обеспечения объективного подхода к поощрению граждан. Комиссия работает на общественных началах;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образует в составе Администрации Президента РФ подразделение для обеспечения реализации конституционных полномочий главы государства и проведения единой политики в области государственных наград.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Ходатайства о награждении государственными наградами возбуждаются в коллективах предприятий, учреждений, организаций частной, государственной, муниципальной и иных форм собственности, а также органами местного самоуправления. </w:t>
      </w:r>
      <w:proofErr w:type="gramStart"/>
      <w:r w:rsidRPr="009D482F">
        <w:rPr>
          <w:rFonts w:cs="Times New Roman"/>
          <w:szCs w:val="24"/>
        </w:rPr>
        <w:t>Органы местного самоуправления сельских поселений, руководители предприятий, учреждений, организаций после согласования с органами местного самоуправления районов, городов направляют ходатайства о награждении государственными наградами соответствующим главам республик, главам администраций краев, областей, городов федерального значения, автономной области, автономных округов или в федеральные органы государственной власти по согласованию с соответствующими главами республик, главами администраций краев, областей, городов федерального значения, автономной области, автономных округов</w:t>
      </w:r>
      <w:proofErr w:type="gramEnd"/>
      <w:r w:rsidRPr="009D482F">
        <w:rPr>
          <w:rFonts w:cs="Times New Roman"/>
          <w:szCs w:val="24"/>
        </w:rPr>
        <w:t>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proofErr w:type="gramStart"/>
      <w:r w:rsidRPr="009D482F">
        <w:rPr>
          <w:rFonts w:cs="Times New Roman"/>
          <w:szCs w:val="24"/>
        </w:rPr>
        <w:t>Порядок возбуждения ходатайств о награждении государственными наградами работников федеральных органов государственной власти, федеральных государственных органов, военнослужащих, сотрудников органов внутренних дел РФ, Государственной противопожарной службы Министерства РФ по делам гражданской обороны, чрезвычайным ситуациям и ликвидации последствий стихийных бедствий, органов по контролю за оборотом наркотических средств и психотропных веществ, таможенных органов РФ, судей, работников органов прокуратуры РФ, а также гражданского персонала Вооруженных</w:t>
      </w:r>
      <w:proofErr w:type="gramEnd"/>
      <w:r w:rsidRPr="009D482F">
        <w:rPr>
          <w:rFonts w:cs="Times New Roman"/>
          <w:szCs w:val="24"/>
        </w:rPr>
        <w:t xml:space="preserve"> Сил РФ определяется соответствующими федеральными органами государственной власти и федеральными государственными органами.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Представления к награждению государственными наградами вносятся Президенту РФ: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руководителями федеральных органов государственной власти по согласованию с соответствующими главами республик, главами администраций краев, областей, городов федерального значения, автономной области, автономных округов;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главами республик, главами администраций краев, областей, городов федерального значения, автономной области, автономных округов по согласованию с соответствующими федеральными органами государственной власти.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proofErr w:type="gramStart"/>
      <w:r w:rsidRPr="009D482F">
        <w:rPr>
          <w:rFonts w:cs="Times New Roman"/>
          <w:szCs w:val="24"/>
        </w:rPr>
        <w:t>Полномочный представитель Президента РФ в федеральном округе вносит Президенту РФ представления о награждении государственными наградами глав республик, глав администраций краев, областей, городов федерального значения, автономной области, автономных округов и руководителей законодательных (представительных) органов государственной власти субъектов РФ, находящихся в пределах федерального округа, а также согласовывает представления о награждении государственными наградами, направляемые органами государственной власти субъекта (субъектов) РФ, находящимися в пределах</w:t>
      </w:r>
      <w:proofErr w:type="gramEnd"/>
      <w:r w:rsidRPr="009D482F">
        <w:rPr>
          <w:rFonts w:cs="Times New Roman"/>
          <w:szCs w:val="24"/>
        </w:rPr>
        <w:t xml:space="preserve"> федерального округа, в федеральные органы государственной власти.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Согласования должны быть документально оформлены до внесения представлений к награждению государственными наградами.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Прежде чем заполнить наградной лист, нужно вначале ознакомиться со статусом награды. Например, орденом Почета награждаются граждане за высокие достижения в государственной, производственной, научно-исследовательской, социально-культурной, общественной и благотворительной деятельности, за заслуги в подготовке высококвалифицированных кадров, воспитании подрастающего поколения, </w:t>
      </w:r>
      <w:r w:rsidRPr="009D482F">
        <w:rPr>
          <w:rFonts w:cs="Times New Roman"/>
          <w:szCs w:val="24"/>
        </w:rPr>
        <w:lastRenderedPageBreak/>
        <w:t xml:space="preserve">поддержании законности и правопорядка. </w:t>
      </w:r>
      <w:proofErr w:type="gramStart"/>
      <w:r w:rsidRPr="009D482F">
        <w:rPr>
          <w:rFonts w:cs="Times New Roman"/>
          <w:szCs w:val="24"/>
        </w:rPr>
        <w:t>Медалью ордена "За заслуги перед Отечеством" награждаются граждане за заслуги в области промышленности и сельского хозяйства, строительства и транспорта, науки и образования, здравоохранения и культуры, а также в других областях трудовой деятельности: за успехи в поддержании высокой боевой готовности подразделений, частей и соединений, за отличные показатели в боевой подготовке и иные заслуги во время прохождения военной службы;</w:t>
      </w:r>
      <w:proofErr w:type="gramEnd"/>
      <w:r w:rsidRPr="009D482F">
        <w:rPr>
          <w:rFonts w:cs="Times New Roman"/>
          <w:szCs w:val="24"/>
        </w:rPr>
        <w:t xml:space="preserve"> за укрепление законности и правопорядка, обеспечение государственной безопасности.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hyperlink r:id="rId9" w:history="1">
        <w:r w:rsidRPr="009D482F">
          <w:rPr>
            <w:rFonts w:cs="Times New Roman"/>
            <w:szCs w:val="24"/>
          </w:rPr>
          <w:t>Указом</w:t>
        </w:r>
      </w:hyperlink>
      <w:r w:rsidRPr="009D482F">
        <w:rPr>
          <w:rFonts w:cs="Times New Roman"/>
          <w:szCs w:val="24"/>
        </w:rPr>
        <w:t xml:space="preserve"> Президента РФ от 25 ноября 1994 г. N 2119 (в ред. от 7 ноября 2000 г.) утв. формы наградного листа для представления к награждению государственными наградами Российской Федерации. На представляемого к награждению работника заполняется наградной лист, в котором помимо анкетных данных приводятся сведения о его трудовой деятельности и характеристика с указанием конкретных заслуг.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Почетные звания РФ, положения о почетных званиях и описание нагрудных знаков к почетным званиям Российской Федерации установлены </w:t>
      </w:r>
      <w:hyperlink r:id="rId10" w:history="1">
        <w:r w:rsidRPr="009D482F">
          <w:rPr>
            <w:rFonts w:cs="Times New Roman"/>
            <w:szCs w:val="24"/>
          </w:rPr>
          <w:t>Указом</w:t>
        </w:r>
      </w:hyperlink>
      <w:r w:rsidRPr="009D482F">
        <w:rPr>
          <w:rFonts w:cs="Times New Roman"/>
          <w:szCs w:val="24"/>
        </w:rPr>
        <w:t xml:space="preserve"> Президента РФ от 30 декабря 1995 г. N 1341 "Об установлении почетных званий Российской Федерации, утверждении положений о почетных званиях и описания нагрудного знака к почетным званиям Российской Федерации".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Приказом </w:t>
      </w:r>
      <w:proofErr w:type="spellStart"/>
      <w:r w:rsidRPr="009D482F">
        <w:rPr>
          <w:rFonts w:cs="Times New Roman"/>
          <w:szCs w:val="24"/>
        </w:rPr>
        <w:t>Минобрнауки</w:t>
      </w:r>
      <w:proofErr w:type="spellEnd"/>
      <w:r w:rsidRPr="009D482F">
        <w:rPr>
          <w:rFonts w:cs="Times New Roman"/>
          <w:szCs w:val="24"/>
        </w:rPr>
        <w:t xml:space="preserve"> России от 6 октября 2004 г. N 84 установлены знаки отличия в сфере образования и науки, а также наградной лист, список печатных трудов представляемого к награждению медалью К.Д. Ушинского.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 xml:space="preserve">Приказом МЧС России от 10 августа 2006 г. N 458 утв. </w:t>
      </w:r>
      <w:hyperlink r:id="rId11" w:history="1">
        <w:r w:rsidRPr="009D482F">
          <w:rPr>
            <w:rFonts w:cs="Times New Roman"/>
            <w:szCs w:val="24"/>
          </w:rPr>
          <w:t>Положение</w:t>
        </w:r>
      </w:hyperlink>
      <w:r w:rsidRPr="009D482F">
        <w:rPr>
          <w:rFonts w:cs="Times New Roman"/>
          <w:szCs w:val="24"/>
        </w:rPr>
        <w:t xml:space="preserve"> о Доске почета территориального органа МЧС России, соединения и воинской части войск гражданской обороны и организации МЧС России.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Лица, удостоенные государственных наград, пользуются льготами и преимуществами в порядке и случаях, установленных законодательством РФ.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b/>
          <w:bCs/>
          <w:szCs w:val="24"/>
        </w:rPr>
        <w:t>4. Постановлением администрации Смоленской области</w:t>
      </w:r>
      <w:r w:rsidRPr="009D482F">
        <w:rPr>
          <w:rFonts w:cs="Times New Roman"/>
          <w:szCs w:val="24"/>
        </w:rPr>
        <w:t xml:space="preserve"> от 29 марта 2004 г. N 89 утв. Положение о Почетной грамоте Смоленской области.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szCs w:val="24"/>
        </w:rPr>
        <w:t>Приказом Министерства здравоохранения Омской области от 22 октября 2008 г. N 58 установлены награды и поощрения Министерства здравоохранения Омской области.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b/>
          <w:bCs/>
          <w:szCs w:val="24"/>
        </w:rPr>
        <w:t xml:space="preserve">5. </w:t>
      </w:r>
      <w:hyperlink r:id="rId12" w:history="1">
        <w:r w:rsidRPr="009D482F">
          <w:rPr>
            <w:rFonts w:cs="Times New Roman"/>
            <w:b/>
            <w:bCs/>
            <w:szCs w:val="24"/>
          </w:rPr>
          <w:t>Приказом</w:t>
        </w:r>
      </w:hyperlink>
      <w:r w:rsidRPr="009D482F">
        <w:rPr>
          <w:rFonts w:cs="Times New Roman"/>
          <w:b/>
          <w:bCs/>
          <w:szCs w:val="24"/>
        </w:rPr>
        <w:t xml:space="preserve"> </w:t>
      </w:r>
      <w:proofErr w:type="spellStart"/>
      <w:r w:rsidRPr="009D482F">
        <w:rPr>
          <w:rFonts w:cs="Times New Roman"/>
          <w:b/>
          <w:bCs/>
          <w:szCs w:val="24"/>
        </w:rPr>
        <w:t>Минпромторга</w:t>
      </w:r>
      <w:proofErr w:type="spellEnd"/>
      <w:r w:rsidRPr="009D482F">
        <w:rPr>
          <w:rFonts w:cs="Times New Roman"/>
          <w:b/>
          <w:bCs/>
          <w:szCs w:val="24"/>
        </w:rPr>
        <w:t xml:space="preserve"> России</w:t>
      </w:r>
      <w:r w:rsidRPr="009D482F">
        <w:rPr>
          <w:rFonts w:cs="Times New Roman"/>
          <w:szCs w:val="24"/>
        </w:rPr>
        <w:t xml:space="preserve"> от 27 июня 2008 г. N 8 установлены ведомственные знаки отличия в труде Министерства промышленности и торговли РФ.</w:t>
      </w: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9D482F">
        <w:rPr>
          <w:rFonts w:cs="Times New Roman"/>
          <w:b/>
          <w:bCs/>
          <w:szCs w:val="24"/>
        </w:rPr>
        <w:t xml:space="preserve">6. </w:t>
      </w:r>
      <w:hyperlink r:id="rId13" w:history="1">
        <w:r w:rsidRPr="009D482F">
          <w:rPr>
            <w:rFonts w:cs="Times New Roman"/>
            <w:b/>
            <w:bCs/>
            <w:szCs w:val="24"/>
          </w:rPr>
          <w:t>Правила</w:t>
        </w:r>
      </w:hyperlink>
      <w:r w:rsidRPr="009D482F">
        <w:rPr>
          <w:rFonts w:cs="Times New Roman"/>
          <w:b/>
          <w:bCs/>
          <w:szCs w:val="24"/>
        </w:rPr>
        <w:t xml:space="preserve"> осуществления ежемесячной денежной выплаты</w:t>
      </w:r>
      <w:r w:rsidRPr="009D482F">
        <w:rPr>
          <w:rFonts w:cs="Times New Roman"/>
          <w:szCs w:val="24"/>
        </w:rPr>
        <w:t xml:space="preserve"> Героям Социалистического Труда и полным кавалерам ордена Трудовой Славы утв. Постановлением Правительства РФ от 24 августа 2006 г. N 518.</w:t>
      </w:r>
    </w:p>
    <w:p w:rsidR="009D482F" w:rsidRPr="009D482F" w:rsidRDefault="009D482F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9D482F" w:rsidRPr="009D482F" w:rsidRDefault="009D482F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 w:rsidRPr="009D482F">
        <w:rPr>
          <w:rFonts w:cs="Times New Roman"/>
          <w:i/>
          <w:iCs/>
          <w:szCs w:val="24"/>
        </w:rPr>
        <w:t>(</w:t>
      </w:r>
      <w:hyperlink r:id="rId14" w:history="1">
        <w:r w:rsidRPr="009D482F">
          <w:rPr>
            <w:rFonts w:cs="Times New Roman"/>
            <w:i/>
            <w:iCs/>
            <w:szCs w:val="24"/>
          </w:rPr>
          <w:t>ст. 191, "Комментарий к Трудовому кодексу Российской Федерации" (постатейный) (6-е издание, переработанное) (под общ</w:t>
        </w:r>
        <w:proofErr w:type="gramStart"/>
        <w:r w:rsidRPr="009D482F">
          <w:rPr>
            <w:rFonts w:cs="Times New Roman"/>
            <w:i/>
            <w:iCs/>
            <w:szCs w:val="24"/>
          </w:rPr>
          <w:t>.</w:t>
        </w:r>
        <w:proofErr w:type="gramEnd"/>
        <w:r w:rsidRPr="009D482F">
          <w:rPr>
            <w:rFonts w:cs="Times New Roman"/>
            <w:i/>
            <w:iCs/>
            <w:szCs w:val="24"/>
          </w:rPr>
          <w:t xml:space="preserve"> </w:t>
        </w:r>
        <w:proofErr w:type="gramStart"/>
        <w:r w:rsidRPr="009D482F">
          <w:rPr>
            <w:rFonts w:cs="Times New Roman"/>
            <w:i/>
            <w:iCs/>
            <w:szCs w:val="24"/>
          </w:rPr>
          <w:t>р</w:t>
        </w:r>
        <w:proofErr w:type="gramEnd"/>
        <w:r w:rsidRPr="009D482F">
          <w:rPr>
            <w:rFonts w:cs="Times New Roman"/>
            <w:i/>
            <w:iCs/>
            <w:szCs w:val="24"/>
          </w:rPr>
          <w:t xml:space="preserve">ед. В.И. </w:t>
        </w:r>
        <w:proofErr w:type="spellStart"/>
        <w:r w:rsidRPr="009D482F">
          <w:rPr>
            <w:rFonts w:cs="Times New Roman"/>
            <w:i/>
            <w:iCs/>
            <w:szCs w:val="24"/>
          </w:rPr>
          <w:t>Шкатуллы</w:t>
        </w:r>
        <w:proofErr w:type="spellEnd"/>
        <w:r w:rsidRPr="009D482F">
          <w:rPr>
            <w:rFonts w:cs="Times New Roman"/>
            <w:i/>
            <w:iCs/>
            <w:szCs w:val="24"/>
          </w:rPr>
          <w:t>) ("Норма", 2009)</w:t>
        </w:r>
      </w:hyperlink>
      <w:r w:rsidRPr="009D482F">
        <w:rPr>
          <w:rFonts w:cs="Times New Roman"/>
          <w:i/>
          <w:iCs/>
          <w:szCs w:val="24"/>
        </w:rPr>
        <w:t>)</w:t>
      </w:r>
    </w:p>
    <w:p w:rsidR="009D482F" w:rsidRPr="009D482F" w:rsidRDefault="009D482F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0F46B0" w:rsidRPr="009D482F" w:rsidRDefault="000F46B0">
      <w:pPr>
        <w:rPr>
          <w:rFonts w:cs="Times New Roman"/>
          <w:szCs w:val="24"/>
        </w:rPr>
      </w:pPr>
    </w:p>
    <w:sectPr w:rsidR="000F46B0" w:rsidRPr="009D482F" w:rsidSect="00F82D0A">
      <w:pgSz w:w="11906" w:h="16838" w:code="9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D482F"/>
    <w:rsid w:val="0002171E"/>
    <w:rsid w:val="000F46B0"/>
    <w:rsid w:val="00272ECC"/>
    <w:rsid w:val="0054600A"/>
    <w:rsid w:val="0076079B"/>
    <w:rsid w:val="009D482F"/>
    <w:rsid w:val="00C75166"/>
    <w:rsid w:val="00EA12C5"/>
    <w:rsid w:val="00FF1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2314;fld=134;dst=100016" TargetMode="External"/><Relationship Id="rId13" Type="http://schemas.openxmlformats.org/officeDocument/2006/relationships/hyperlink" Target="consultantplus://offline/main?base=LAW;n=62462;fld=134;dst=1000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87605;fld=134;dst=802" TargetMode="External"/><Relationship Id="rId12" Type="http://schemas.openxmlformats.org/officeDocument/2006/relationships/hyperlink" Target="consultantplus://offline/main?base=LAW;n=78188;fld=134;dst=100005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87605;fld=134;dst=101180" TargetMode="External"/><Relationship Id="rId11" Type="http://schemas.openxmlformats.org/officeDocument/2006/relationships/hyperlink" Target="consultantplus://offline/main?base=LAW;n=62560;fld=134;dst=100011" TargetMode="External"/><Relationship Id="rId5" Type="http://schemas.openxmlformats.org/officeDocument/2006/relationships/hyperlink" Target="consultantplus://offline/main?base=LAW;n=87605;fld=134;dst=101180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main?base=LAW;n=68104;fld=134" TargetMode="External"/><Relationship Id="rId4" Type="http://schemas.openxmlformats.org/officeDocument/2006/relationships/hyperlink" Target="consultantplus://offline/main?base=LAW;n=87605;fld=134;dst=101180" TargetMode="External"/><Relationship Id="rId9" Type="http://schemas.openxmlformats.org/officeDocument/2006/relationships/hyperlink" Target="consultantplus://offline/main?base=LAW;n=93763;fld=134;dst=100004" TargetMode="External"/><Relationship Id="rId14" Type="http://schemas.openxmlformats.org/officeDocument/2006/relationships/hyperlink" Target="consultantplus://offline/main?base=CMB;n=16357;fld=134;dst=1055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2013</Words>
  <Characters>11478</Characters>
  <Application>Microsoft Office Word</Application>
  <DocSecurity>0</DocSecurity>
  <Lines>95</Lines>
  <Paragraphs>26</Paragraphs>
  <ScaleCrop>false</ScaleCrop>
  <Company/>
  <LinksUpToDate>false</LinksUpToDate>
  <CharactersWithSpaces>13465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1</cp:revision>
  <dcterms:created xsi:type="dcterms:W3CDTF">2011-09-27T22:25:00Z</dcterms:created>
  <dcterms:modified xsi:type="dcterms:W3CDTF">2011-09-27T22:26:00Z</dcterms:modified>
</cp:coreProperties>
</file>